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3"/>
        <w:tblW w:w="0" w:type="auto"/>
        <w:tblLook w:val="04A0"/>
      </w:tblPr>
      <w:tblGrid>
        <w:gridCol w:w="4785"/>
        <w:gridCol w:w="4786"/>
      </w:tblGrid>
      <w:tr w:rsidR="001F1211" w:rsidTr="001F12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1211" w:rsidRDefault="001F1211" w:rsidP="001F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1211" w:rsidRPr="00E85C73" w:rsidRDefault="001F1211" w:rsidP="001F12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1F1211" w:rsidRDefault="001F1211" w:rsidP="001F12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директора Г</w:t>
            </w:r>
            <w:r w:rsidR="00797F0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8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="00797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СРЦ «Надежда» </w:t>
            </w:r>
            <w:r w:rsidRPr="00E8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C73">
              <w:rPr>
                <w:rFonts w:ascii="Times New Roman" w:eastAsia="Times New Roman" w:hAnsi="Times New Roman" w:cs="Times New Roman"/>
                <w:sz w:val="28"/>
                <w:szCs w:val="28"/>
              </w:rPr>
              <w:t>Рамешковского</w:t>
            </w:r>
            <w:proofErr w:type="spellEnd"/>
            <w:r w:rsidRPr="00E8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797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F1211" w:rsidRPr="00E85C73" w:rsidRDefault="001F1211" w:rsidP="001F12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</w:t>
            </w:r>
            <w:r w:rsidR="00797F0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E8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r w:rsidR="00797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ноября </w:t>
            </w:r>
            <w:r w:rsidRPr="00E8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797F0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E8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="00797F07">
              <w:rPr>
                <w:rFonts w:ascii="Times New Roman" w:eastAsia="Times New Roman" w:hAnsi="Times New Roman" w:cs="Times New Roman"/>
                <w:sz w:val="28"/>
                <w:szCs w:val="28"/>
              </w:rPr>
              <w:t>42/11</w:t>
            </w:r>
          </w:p>
          <w:p w:rsidR="001F1211" w:rsidRPr="00E85C73" w:rsidRDefault="001F1211" w:rsidP="001F12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11" w:rsidRDefault="001F1211" w:rsidP="001F1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C73" w:rsidRDefault="00E85C73" w:rsidP="00A7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C73" w:rsidRDefault="00E85C73" w:rsidP="00E85C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7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организации работы </w:t>
      </w:r>
    </w:p>
    <w:p w:rsidR="00E85C73" w:rsidRPr="00E53FAC" w:rsidRDefault="00E85C73" w:rsidP="00E53F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73">
        <w:rPr>
          <w:rFonts w:ascii="Times New Roman" w:eastAsia="Times New Roman" w:hAnsi="Times New Roman" w:cs="Times New Roman"/>
          <w:b/>
          <w:sz w:val="28"/>
          <w:szCs w:val="28"/>
        </w:rPr>
        <w:t>телефона «горячей линии» для приема сообщений граждан и юридических лиц по фактам коррупции</w:t>
      </w:r>
      <w:r w:rsidR="00A92FB4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государственном </w:t>
      </w:r>
      <w:r w:rsidR="00797F07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бюджетном </w:t>
      </w:r>
      <w:r w:rsidR="00A92FB4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учреждении </w:t>
      </w:r>
      <w:r w:rsidR="00797F07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«Социально-реабилитационный центр для несовершеннолетних «Надежда»</w:t>
      </w:r>
      <w:r w:rsidR="00A92F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2FB4">
        <w:rPr>
          <w:rFonts w:ascii="Times New Roman" w:eastAsia="Times New Roman" w:hAnsi="Times New Roman" w:cs="Times New Roman"/>
          <w:b/>
          <w:sz w:val="28"/>
          <w:szCs w:val="28"/>
        </w:rPr>
        <w:t>Рамешковского</w:t>
      </w:r>
      <w:proofErr w:type="spellEnd"/>
      <w:r w:rsidR="00A92FB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797F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08E2" w:rsidRPr="00A708E2" w:rsidRDefault="00A708E2" w:rsidP="00A7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8E2" w:rsidRPr="00A92FB4" w:rsidRDefault="00A708E2" w:rsidP="00A9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FB4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A708E2" w:rsidRPr="00A92FB4" w:rsidRDefault="00A708E2" w:rsidP="00A7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8E2" w:rsidRPr="00A92FB4" w:rsidRDefault="00A92FB4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работы телефона "горячей линии" для приема сообщений граждан по фактам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97F07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97F07">
        <w:rPr>
          <w:rFonts w:ascii="Times New Roman" w:eastAsia="Times New Roman" w:hAnsi="Times New Roman" w:cs="Times New Roman"/>
          <w:sz w:val="28"/>
          <w:szCs w:val="28"/>
        </w:rPr>
        <w:t>СРЦ «Надежда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Рамешковского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определяет порядок приема, регистрации и </w:t>
      </w:r>
      <w:proofErr w:type="gramStart"/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учета</w:t>
      </w:r>
      <w:proofErr w:type="gramEnd"/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на него сообщений граждан по фактам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97F07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97F07">
        <w:rPr>
          <w:rFonts w:ascii="Times New Roman" w:eastAsia="Times New Roman" w:hAnsi="Times New Roman" w:cs="Times New Roman"/>
          <w:sz w:val="28"/>
          <w:szCs w:val="28"/>
        </w:rPr>
        <w:t>СРЦ «Надежда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Рамешковского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 (далее – Учреждение)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8E2" w:rsidRPr="00A92FB4" w:rsidRDefault="00A92FB4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Телефон "горячей линии" для приема сообщений граждан по фактам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 для обеспечения гражданам возможности сообщать о </w:t>
      </w:r>
      <w:r>
        <w:rPr>
          <w:rFonts w:ascii="Times New Roman" w:eastAsia="Times New Roman" w:hAnsi="Times New Roman" w:cs="Times New Roman"/>
          <w:sz w:val="28"/>
          <w:szCs w:val="28"/>
        </w:rPr>
        <w:t>фактах коррупции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, а именно: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</w:t>
      </w:r>
      <w:proofErr w:type="gramEnd"/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несоблюдения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ограничений, запретов, обязанностей, связанных с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исполнением своих должностных обязанностей.</w:t>
      </w:r>
    </w:p>
    <w:p w:rsidR="00A708E2" w:rsidRPr="00A92FB4" w:rsidRDefault="00A92FB4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1.3. Организация работы телефона "горячей линии" осуществляется в целях:</w:t>
      </w:r>
    </w:p>
    <w:p w:rsidR="00A708E2" w:rsidRPr="00A92FB4" w:rsidRDefault="00A92FB4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соблюдения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работниками Учреждения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антикоррупционного поведения, а также своевременного пресечения случаев коррупционного поведения со стороны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 Учреждения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8E2" w:rsidRPr="00A92FB4" w:rsidRDefault="00A92FB4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оперативного реагирования на факты коррупционных проявлений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, изложенные в сообщениях граждан.</w:t>
      </w:r>
    </w:p>
    <w:p w:rsidR="00A708E2" w:rsidRPr="00A92FB4" w:rsidRDefault="00A92FB4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1.4. Информация о функционировании и режиме работы телефона "горячей линии" доводится до сведения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Рамешковского района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</w:t>
      </w:r>
      <w:r>
        <w:rPr>
          <w:rFonts w:ascii="Times New Roman" w:eastAsia="Times New Roman" w:hAnsi="Times New Roman" w:cs="Times New Roman"/>
          <w:sz w:val="28"/>
          <w:szCs w:val="28"/>
        </w:rPr>
        <w:t>рнет"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8E2" w:rsidRPr="00A92FB4" w:rsidRDefault="00A708E2" w:rsidP="00A7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8E2" w:rsidRPr="00A92FB4" w:rsidRDefault="00A708E2" w:rsidP="00A9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FB4">
        <w:rPr>
          <w:rFonts w:ascii="Times New Roman" w:eastAsia="Times New Roman" w:hAnsi="Times New Roman" w:cs="Times New Roman"/>
          <w:sz w:val="28"/>
          <w:szCs w:val="28"/>
        </w:rPr>
        <w:t>II. Порядок работы телефона "горячей линии"</w:t>
      </w:r>
    </w:p>
    <w:p w:rsidR="00A708E2" w:rsidRPr="00A92FB4" w:rsidRDefault="00A708E2" w:rsidP="00A7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8E2" w:rsidRPr="00A92FB4" w:rsidRDefault="00A92FB4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2.1. Прием сообщений граждан на телефон "горячей линии"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специалистом Учреждения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не реже одного раза в квартал с 9.00 до 13.00.</w:t>
      </w:r>
    </w:p>
    <w:p w:rsidR="00A708E2" w:rsidRPr="00A92FB4" w:rsidRDefault="00A92FB4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2.2. Принятые сообщения на телефон "горячей линии" регистрируются в журнале регистрации сообщений, поступивших на телефон "горячей линии" от граждан по фактам коррупции в </w:t>
      </w:r>
      <w:r w:rsidR="00E53FAC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(далее - Журнал), оформленном согласно приложению к Порядку.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2.3. В Журнале указываются: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порядковый номер поступившего сообщения;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дата и время поступления сообщения;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наличии), почтовый адрес, по которому должен быть при необходимости направлен ответ, телефон;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краткое содержание сообщения;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принятые меры;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работника, 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принявшего сообщение.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2.4. Перед сообщением информации о фактах коррупционных проявлений со стороны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 Учреждения 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гражданами сообщаются свои персональные данные (фамилия, имя, отчество (при наличии)), почтовый адрес, по которому должен быть при необходимости направлен ответ, телефон.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2.5. Обращения не рассматриваются по существу, если: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в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обращение анонимное, не </w:t>
      </w:r>
      <w:proofErr w:type="gramStart"/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фамилия обратившегося и почтовый адрес для ответа;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от гражданина поступило заявление о прекращении рассмотрении обращения.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гражданину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2.6. При обращении граждан по вопросам, не отнесенным к ведению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, а также невозможности ответа на поставленный в телефонном обращении вопрос, обращение оформляется с последующей переадресацией его в другой орган по принадлежности. Заявителю сообщается, куда направлен его запрос для рассмотрения, срок и порядок получения ответа. В Журнале производится соответствующая запись с указанием исполнителя, в адрес которого направлено обращение.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2.7. Информация о фактах коррупционных проявлений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работниками Учреждения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, поступившая на телефон "горячей линии", в течение трех рабочих дней докладывается </w:t>
      </w:r>
      <w:r>
        <w:rPr>
          <w:rFonts w:ascii="Times New Roman" w:eastAsia="Times New Roman" w:hAnsi="Times New Roman" w:cs="Times New Roman"/>
          <w:sz w:val="28"/>
          <w:szCs w:val="28"/>
        </w:rPr>
        <w:t>работодателю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решения.</w:t>
      </w:r>
    </w:p>
    <w:p w:rsidR="00A708E2" w:rsidRPr="00A92FB4" w:rsidRDefault="00A708E2" w:rsidP="00A7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FAC" w:rsidRDefault="00A708E2" w:rsidP="00E5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FB4">
        <w:rPr>
          <w:rFonts w:ascii="Times New Roman" w:eastAsia="Times New Roman" w:hAnsi="Times New Roman" w:cs="Times New Roman"/>
          <w:sz w:val="28"/>
          <w:szCs w:val="28"/>
        </w:rPr>
        <w:t xml:space="preserve">III. Правила служебного поведения </w:t>
      </w:r>
      <w:r w:rsidR="00E53FAC">
        <w:rPr>
          <w:rFonts w:ascii="Times New Roman" w:eastAsia="Times New Roman" w:hAnsi="Times New Roman" w:cs="Times New Roman"/>
          <w:sz w:val="28"/>
          <w:szCs w:val="28"/>
        </w:rPr>
        <w:t>работников Учреждения</w:t>
      </w:r>
    </w:p>
    <w:p w:rsidR="00A708E2" w:rsidRPr="00A92FB4" w:rsidRDefault="00A708E2" w:rsidP="00E5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FB4">
        <w:rPr>
          <w:rFonts w:ascii="Times New Roman" w:eastAsia="Times New Roman" w:hAnsi="Times New Roman" w:cs="Times New Roman"/>
          <w:sz w:val="28"/>
          <w:szCs w:val="28"/>
        </w:rPr>
        <w:t xml:space="preserve"> при ведении телефонного разговора</w:t>
      </w:r>
    </w:p>
    <w:p w:rsidR="00A708E2" w:rsidRPr="00A92FB4" w:rsidRDefault="00A708E2" w:rsidP="00A7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3.1. Ответ на телефонный звонок начинается с информации о фамилии и должности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 Учреждения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, принявшего телефонный звонок.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3.2. Информация излагается в сжатой форме, кратко, четко, в доброжелательном тоне. Речь должна носить официально-деловой характер. В случае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недопустим, при этом инициатива стереотипа поведения принадлежит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работнику Учреждения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. Рекомендуется категорически избегать конфликтных ситуаций, способных нанести ущерб </w:t>
      </w:r>
      <w:proofErr w:type="gramStart"/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репутации</w:t>
      </w:r>
      <w:proofErr w:type="gramEnd"/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, принявшего сообщение.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3.3.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Первым трубку кладет заявитель. Если заявитель получил исчерпывающую информацию по заданному им вопросу, но разговор им не прекращен,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работнику рекомендуется, 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вежливо извинившись, закончить разговор.</w:t>
      </w:r>
    </w:p>
    <w:p w:rsidR="00A708E2" w:rsidRPr="00A92FB4" w:rsidRDefault="00A708E2" w:rsidP="00A7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8E2" w:rsidRPr="00A92FB4" w:rsidRDefault="00A708E2" w:rsidP="00E5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FB4">
        <w:rPr>
          <w:rFonts w:ascii="Times New Roman" w:eastAsia="Times New Roman" w:hAnsi="Times New Roman" w:cs="Times New Roman"/>
          <w:sz w:val="28"/>
          <w:szCs w:val="28"/>
        </w:rPr>
        <w:t>IV. Заключительные положения</w:t>
      </w:r>
    </w:p>
    <w:p w:rsidR="00A708E2" w:rsidRPr="00A92FB4" w:rsidRDefault="00A708E2" w:rsidP="00A7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4.1. По итогам каждого квартала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проводит анализ телефонных обращений граждан, информирует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руководство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о количестве, характере и причине поступивших телефонных обращений граждан, принятых мерах по их рассмотрению.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4.2. Журнал и материалы, связанные с телефонными обращениями граждан, хранятся в соответствии с правилами делопроизводства 3 года, а затем уничтожаются в установленном порядке.</w:t>
      </w:r>
    </w:p>
    <w:p w:rsidR="00A708E2" w:rsidRPr="00A92FB4" w:rsidRDefault="00E53FAC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>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граждан, без их согласия</w:t>
      </w:r>
      <w:r w:rsidR="001F121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708E2" w:rsidRPr="00A92FB4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A708E2" w:rsidRPr="00A92FB4" w:rsidRDefault="001F1211" w:rsidP="00A708E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08E2" w:rsidRPr="00A92FB4" w:rsidRDefault="00A708E2" w:rsidP="00A7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A708E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42"/>
        <w:tblW w:w="0" w:type="auto"/>
        <w:tblLook w:val="04A0"/>
      </w:tblPr>
      <w:tblGrid>
        <w:gridCol w:w="4785"/>
        <w:gridCol w:w="4786"/>
      </w:tblGrid>
      <w:tr w:rsidR="001F1211" w:rsidTr="001F12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1211" w:rsidRDefault="001F1211" w:rsidP="001F121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1211" w:rsidRDefault="001F1211" w:rsidP="001F1211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F1211" w:rsidRPr="001F1211" w:rsidRDefault="001F1211" w:rsidP="001F1211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</w:t>
            </w:r>
            <w:r w:rsidRPr="001F121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работы телефона «горячей линии» для приема сообщений граждан и юридических лиц по фактам коррупции в государственном казенном учреждении Тверской области «Центр социальной поддержки населения» Рамешковского района Тверской области</w:t>
            </w:r>
          </w:p>
          <w:p w:rsidR="001F1211" w:rsidRDefault="001F1211" w:rsidP="001F1211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08E2" w:rsidRPr="00A92FB4" w:rsidRDefault="00A708E2" w:rsidP="001F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FB4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1F1211" w:rsidRDefault="00A708E2" w:rsidP="001F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FB4">
        <w:rPr>
          <w:rFonts w:ascii="Times New Roman" w:eastAsia="Times New Roman" w:hAnsi="Times New Roman" w:cs="Times New Roman"/>
          <w:sz w:val="28"/>
          <w:szCs w:val="28"/>
        </w:rPr>
        <w:t xml:space="preserve">регистрации сообщений, поступивших на телефон "горячей линии", от граждан по фактам коррупции в </w:t>
      </w:r>
      <w:r w:rsidR="001F1211" w:rsidRPr="001F1211">
        <w:rPr>
          <w:rFonts w:ascii="Times New Roman" w:eastAsia="Times New Roman" w:hAnsi="Times New Roman" w:cs="Times New Roman"/>
          <w:sz w:val="28"/>
          <w:szCs w:val="28"/>
        </w:rPr>
        <w:t>государственном казенном учреждении Тверской области «Центр социальной поддержки населения» Рамешковского района Тверской области</w:t>
      </w:r>
    </w:p>
    <w:p w:rsidR="001F1211" w:rsidRDefault="001F1211" w:rsidP="001F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4"/>
        <w:gridCol w:w="1652"/>
        <w:gridCol w:w="2090"/>
        <w:gridCol w:w="1538"/>
        <w:gridCol w:w="1468"/>
        <w:gridCol w:w="2219"/>
      </w:tblGrid>
      <w:tr w:rsidR="001F1211" w:rsidTr="001F1211">
        <w:tc>
          <w:tcPr>
            <w:tcW w:w="675" w:type="dxa"/>
          </w:tcPr>
          <w:p w:rsidR="001F1211" w:rsidRPr="001F1211" w:rsidRDefault="001F1211" w:rsidP="001F12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1F121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F121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F121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1F1211" w:rsidRPr="001F1211" w:rsidRDefault="001F1211" w:rsidP="001F12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21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время поступления сообщения</w:t>
            </w:r>
          </w:p>
        </w:tc>
        <w:tc>
          <w:tcPr>
            <w:tcW w:w="2410" w:type="dxa"/>
          </w:tcPr>
          <w:p w:rsidR="001F1211" w:rsidRPr="001F1211" w:rsidRDefault="001F1211" w:rsidP="001F12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211">
              <w:rPr>
                <w:rFonts w:ascii="Times New Roman" w:eastAsia="Times New Roman" w:hAnsi="Times New Roman" w:cs="Times New Roman"/>
                <w:sz w:val="26"/>
                <w:szCs w:val="26"/>
              </w:rPr>
              <w:t>ФИО, почтовый адрес, по которому должен быть при необходимости направлен ответ, телефон</w:t>
            </w:r>
          </w:p>
        </w:tc>
        <w:tc>
          <w:tcPr>
            <w:tcW w:w="1559" w:type="dxa"/>
          </w:tcPr>
          <w:p w:rsidR="001F1211" w:rsidRPr="001F1211" w:rsidRDefault="001F1211" w:rsidP="001F12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211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содержание сообщения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F1211" w:rsidRDefault="001F1211" w:rsidP="001F12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B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1211" w:rsidRDefault="001F1211" w:rsidP="001F12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B4">
              <w:rPr>
                <w:rFonts w:ascii="Times New Roman" w:eastAsia="Times New Roman" w:hAnsi="Times New Roman" w:cs="Times New Roman"/>
                <w:sz w:val="28"/>
                <w:szCs w:val="28"/>
              </w:rPr>
              <w:t>ФИО муниципального служащего, служащего, принявшего сообщение</w:t>
            </w:r>
          </w:p>
        </w:tc>
      </w:tr>
      <w:tr w:rsidR="001F1211" w:rsidTr="001F1211">
        <w:tc>
          <w:tcPr>
            <w:tcW w:w="675" w:type="dxa"/>
          </w:tcPr>
          <w:p w:rsidR="001F1211" w:rsidRPr="001F1211" w:rsidRDefault="001F1211" w:rsidP="001F12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F1211" w:rsidRPr="001F1211" w:rsidRDefault="001F1211" w:rsidP="001F12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F1211" w:rsidRPr="001F1211" w:rsidRDefault="001F1211" w:rsidP="001F12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F1211" w:rsidRPr="001F1211" w:rsidRDefault="001F1211" w:rsidP="001F12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F1211" w:rsidRPr="00A92FB4" w:rsidRDefault="001F1211" w:rsidP="001F12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1211" w:rsidRPr="00A92FB4" w:rsidRDefault="001F1211" w:rsidP="001F12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1211" w:rsidTr="001F1211">
        <w:tc>
          <w:tcPr>
            <w:tcW w:w="675" w:type="dxa"/>
          </w:tcPr>
          <w:p w:rsidR="001F1211" w:rsidRDefault="001F1211" w:rsidP="001F12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1211" w:rsidRDefault="001F1211" w:rsidP="001F12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F1211" w:rsidRDefault="001F1211" w:rsidP="001F12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1211" w:rsidRDefault="001F1211" w:rsidP="001F12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F1211" w:rsidRDefault="001F1211" w:rsidP="001F12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F1211" w:rsidRDefault="001F1211" w:rsidP="001F12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1211" w:rsidRDefault="001F1211" w:rsidP="001F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1F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1F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Порядком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1211" w:rsidRDefault="001F1211" w:rsidP="001F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1F1211" w:rsidRDefault="001F1211" w:rsidP="001F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1F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1F1211" w:rsidRDefault="001F1211" w:rsidP="001F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1F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1F1211" w:rsidRDefault="001F1211" w:rsidP="001F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1F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1F1211" w:rsidRDefault="001F1211" w:rsidP="001F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1F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1F1211" w:rsidRDefault="001F1211" w:rsidP="001F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1F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1F1211" w:rsidRDefault="001F1211" w:rsidP="001F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211" w:rsidRDefault="001F1211" w:rsidP="00B2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tbl>
      <w:tblPr>
        <w:tblpPr w:leftFromText="180" w:rightFromText="180" w:vertAnchor="text" w:horzAnchor="page" w:tblpX="6586" w:tblpY="1224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1F1211" w:rsidRPr="00A92FB4" w:rsidTr="001F1211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211" w:rsidRPr="00A92FB4" w:rsidRDefault="001F1211" w:rsidP="001F12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1211" w:rsidRPr="00A92FB4" w:rsidRDefault="001F1211" w:rsidP="001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1211" w:rsidRPr="00A92FB4" w:rsidRDefault="001F1211" w:rsidP="001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1211" w:rsidRPr="00A92FB4" w:rsidRDefault="001F1211" w:rsidP="001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1211" w:rsidRPr="00A92FB4" w:rsidRDefault="001F1211" w:rsidP="001F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F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F1211" w:rsidRPr="00A92FB4" w:rsidRDefault="001F1211" w:rsidP="001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97F07" w:rsidRDefault="00797F07" w:rsidP="0079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97F07" w:rsidSect="00B0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08E2"/>
    <w:rsid w:val="001F1211"/>
    <w:rsid w:val="005F090E"/>
    <w:rsid w:val="00797F07"/>
    <w:rsid w:val="00A708E2"/>
    <w:rsid w:val="00A92FB4"/>
    <w:rsid w:val="00B055B6"/>
    <w:rsid w:val="00B209DE"/>
    <w:rsid w:val="00E53FAC"/>
    <w:rsid w:val="00E8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B6"/>
  </w:style>
  <w:style w:type="paragraph" w:styleId="3">
    <w:name w:val="heading 3"/>
    <w:basedOn w:val="a"/>
    <w:link w:val="30"/>
    <w:uiPriority w:val="9"/>
    <w:qFormat/>
    <w:rsid w:val="00A70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08E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E8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4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7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1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0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7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6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1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8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9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8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5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5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6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0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6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8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2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2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4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2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5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4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6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6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4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8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8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Надежда</cp:lastModifiedBy>
  <cp:revision>4</cp:revision>
  <cp:lastPrinted>2018-11-09T08:31:00Z</cp:lastPrinted>
  <dcterms:created xsi:type="dcterms:W3CDTF">2018-10-18T13:17:00Z</dcterms:created>
  <dcterms:modified xsi:type="dcterms:W3CDTF">2018-11-09T08:31:00Z</dcterms:modified>
</cp:coreProperties>
</file>